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157" w:rsidRDefault="00813996" w:rsidP="00A00157">
      <w:pPr>
        <w:rPr>
          <w:sz w:val="24"/>
        </w:rPr>
      </w:pPr>
      <w:r w:rsidRPr="00813996">
        <w:pict>
          <v:shape id="_x0000_s1026" type="#_x0000_t75" style="position:absolute;margin-left:2.1pt;margin-top:2.25pt;width:59.6pt;height:60.65pt;z-index:251660288;mso-wrap-distance-left:9.05pt;mso-wrap-distance-right:9.05pt" filled="t">
            <v:fill color2="black"/>
            <v:imagedata r:id="rId8" o:title=""/>
          </v:shape>
          <o:OLEObject Type="Embed" ProgID="Word.Picture.8" ShapeID="_x0000_s1026" DrawAspect="Content" ObjectID="_1541411700" r:id="rId9"/>
        </w:pict>
      </w:r>
    </w:p>
    <w:p w:rsidR="00A00157" w:rsidRDefault="00A00157" w:rsidP="00A00157">
      <w:pPr>
        <w:jc w:val="center"/>
        <w:rPr>
          <w:rFonts w:ascii="Arial" w:hAnsi="Arial"/>
          <w:sz w:val="22"/>
        </w:rPr>
      </w:pPr>
    </w:p>
    <w:p w:rsidR="00A00157" w:rsidRDefault="00A00157" w:rsidP="00A00157">
      <w:pPr>
        <w:snapToGrid w:val="0"/>
        <w:jc w:val="center"/>
        <w:rPr>
          <w:rFonts w:ascii="Book Antiqua" w:hAnsi="Book Antiqua"/>
          <w:b/>
          <w:sz w:val="44"/>
          <w:lang w:eastAsia="ar-SA"/>
        </w:rPr>
      </w:pPr>
      <w:r>
        <w:rPr>
          <w:lang w:eastAsia="ar-SA"/>
        </w:rPr>
        <w:t xml:space="preserve"> </w:t>
      </w:r>
      <w:r>
        <w:rPr>
          <w:rFonts w:ascii="Book Antiqua" w:hAnsi="Book Antiqua"/>
          <w:b/>
          <w:sz w:val="44"/>
          <w:lang w:eastAsia="ar-SA"/>
        </w:rPr>
        <w:t>COMUNE  DI  PONTINIA</w:t>
      </w:r>
    </w:p>
    <w:p w:rsidR="00A00157" w:rsidRDefault="00A00157" w:rsidP="00A00157">
      <w:pPr>
        <w:jc w:val="center"/>
        <w:rPr>
          <w:rFonts w:ascii="Book Antiqua" w:hAnsi="Book Antiqua"/>
          <w:b/>
          <w:lang w:eastAsia="ar-SA"/>
        </w:rPr>
      </w:pPr>
      <w:r>
        <w:rPr>
          <w:rFonts w:ascii="Book Antiqua" w:hAnsi="Book Antiqua"/>
          <w:b/>
          <w:lang w:eastAsia="ar-SA"/>
        </w:rPr>
        <w:t>PROVINCIA  DI  LATINA</w:t>
      </w:r>
    </w:p>
    <w:p w:rsidR="00A00157" w:rsidRDefault="00A00157" w:rsidP="00A00157">
      <w:pPr>
        <w:jc w:val="center"/>
        <w:rPr>
          <w:rFonts w:ascii="Book Antiqua" w:hAnsi="Book Antiqua"/>
          <w:b/>
          <w:sz w:val="16"/>
          <w:lang w:eastAsia="ar-SA"/>
        </w:rPr>
      </w:pPr>
      <w:r>
        <w:rPr>
          <w:rFonts w:ascii="Book Antiqua" w:hAnsi="Book Antiqua"/>
          <w:b/>
          <w:sz w:val="16"/>
          <w:lang w:eastAsia="ar-SA"/>
        </w:rPr>
        <w:t>04014 - Piazza Indipendenza, 1 - P.I.: 00321860595</w:t>
      </w:r>
    </w:p>
    <w:p w:rsidR="00CD66A7" w:rsidRDefault="00EB4CF8" w:rsidP="00EB4CF8">
      <w:pPr>
        <w:spacing w:line="360" w:lineRule="auto"/>
        <w:ind w:left="-600"/>
        <w:jc w:val="center"/>
        <w:rPr>
          <w:rFonts w:ascii="Nimbus Roman No9 L" w:hAnsi="Nimbus Roman No9 L"/>
          <w:sz w:val="16"/>
          <w:szCs w:val="16"/>
        </w:rPr>
      </w:pPr>
      <w:r w:rsidRPr="00EB4CF8">
        <w:rPr>
          <w:rFonts w:ascii="Nimbus Roman No9 L" w:hAnsi="Nimbus Roman No9 L"/>
          <w:sz w:val="16"/>
          <w:szCs w:val="16"/>
        </w:rPr>
        <w:t>Tel</w:t>
      </w:r>
      <w:r>
        <w:rPr>
          <w:rFonts w:ascii="Nimbus Roman No9 L" w:hAnsi="Nimbus Roman No9 L"/>
          <w:sz w:val="16"/>
          <w:szCs w:val="16"/>
        </w:rPr>
        <w:t>. 0773/841220</w:t>
      </w:r>
    </w:p>
    <w:p w:rsidR="009D66C1" w:rsidRDefault="009D66C1" w:rsidP="009D66C1">
      <w:pPr>
        <w:autoSpaceDE w:val="0"/>
        <w:spacing w:line="360" w:lineRule="auto"/>
        <w:jc w:val="both"/>
        <w:rPr>
          <w:rFonts w:cs="Calibri"/>
          <w:b/>
          <w:bCs/>
          <w:lang w:eastAsia="ar-SA"/>
        </w:rPr>
      </w:pPr>
    </w:p>
    <w:p w:rsidR="009D66C1" w:rsidRPr="006150BB" w:rsidRDefault="009D66C1" w:rsidP="009D66C1">
      <w:pPr>
        <w:autoSpaceDE w:val="0"/>
        <w:spacing w:line="360" w:lineRule="auto"/>
        <w:jc w:val="right"/>
        <w:rPr>
          <w:b/>
          <w:bCs/>
          <w:lang w:eastAsia="ar-SA"/>
        </w:rPr>
      </w:pPr>
      <w:r w:rsidRPr="006150BB">
        <w:rPr>
          <w:b/>
          <w:bCs/>
          <w:lang w:eastAsia="ar-SA"/>
        </w:rPr>
        <w:t>All.B</w:t>
      </w:r>
    </w:p>
    <w:p w:rsidR="009D66C1" w:rsidRPr="006150BB" w:rsidRDefault="009D66C1" w:rsidP="009D66C1">
      <w:pPr>
        <w:autoSpaceDE w:val="0"/>
        <w:spacing w:line="360" w:lineRule="auto"/>
        <w:jc w:val="both"/>
        <w:rPr>
          <w:b/>
          <w:bCs/>
          <w:lang w:eastAsia="ar-SA"/>
        </w:rPr>
      </w:pPr>
      <w:r w:rsidRPr="006150BB">
        <w:rPr>
          <w:b/>
          <w:bCs/>
          <w:lang w:eastAsia="ar-SA"/>
        </w:rPr>
        <w:t>DISCIPLINARE PER LA GESTIONE, VALORIZZAZIONE E PROMOZIONE DEL MUSEO AGRO PONTINO (MAP) E L'ANNESSO PADIGLIONE ESPOSITIVO EX TORRE IDRICA</w:t>
      </w:r>
    </w:p>
    <w:p w:rsidR="009D66C1" w:rsidRPr="006150BB" w:rsidRDefault="009D66C1" w:rsidP="009D66C1">
      <w:pPr>
        <w:autoSpaceDE w:val="0"/>
        <w:spacing w:line="360" w:lineRule="auto"/>
        <w:jc w:val="center"/>
        <w:rPr>
          <w:b/>
          <w:bCs/>
          <w:lang w:eastAsia="ar-SA"/>
        </w:rPr>
      </w:pPr>
    </w:p>
    <w:p w:rsidR="009D66C1" w:rsidRPr="006150BB" w:rsidRDefault="009D66C1" w:rsidP="009D66C1">
      <w:pPr>
        <w:autoSpaceDE w:val="0"/>
        <w:spacing w:line="360" w:lineRule="auto"/>
        <w:jc w:val="center"/>
        <w:rPr>
          <w:lang w:eastAsia="ar-SA"/>
        </w:rPr>
      </w:pPr>
      <w:r w:rsidRPr="006150BB">
        <w:rPr>
          <w:b/>
          <w:bCs/>
          <w:lang w:eastAsia="ar-SA"/>
        </w:rPr>
        <w:t>ART. 1 OGGETTO</w:t>
      </w:r>
    </w:p>
    <w:p w:rsidR="009D66C1" w:rsidRPr="006150BB" w:rsidRDefault="009D66C1" w:rsidP="009D66C1">
      <w:pPr>
        <w:autoSpaceDE w:val="0"/>
        <w:spacing w:line="360" w:lineRule="auto"/>
        <w:jc w:val="both"/>
        <w:rPr>
          <w:rFonts w:eastAsia="TimesNewRomanPSMT"/>
          <w:i/>
          <w:iCs/>
          <w:lang w:eastAsia="hi-IN" w:bidi="hi-IN"/>
        </w:rPr>
      </w:pPr>
      <w:r w:rsidRPr="006150BB">
        <w:rPr>
          <w:lang w:eastAsia="ar-SA"/>
        </w:rPr>
        <w:t>Oggetto del presente disciplinare è la gestione, valorizzazione e promozione del Museo Agro Pontino (MAP) e l'annesso padiglione espositivo EX Torre Idrica del Comune di Pontinia (di seguito denominati per brevità “Museo” ) per lo svolgimento delle seguenti attività: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  <w:i/>
          <w:iCs/>
        </w:rPr>
        <w:t xml:space="preserve">Apertura, chiusura, sorveglianza e assistenza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- operazioni di apertura e di chiusura del Museo (e padiglioni annessi) con inserimento e disinserimento del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sistema di allarme;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- vigilanza e custodia dei beni esposti nelle sale nell’orario di effettuazione del servizio e controllo del comportamento del pubblico;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</w:rPr>
        <w:t xml:space="preserve">- riordino degli spazi e dei bagni utilizzati in occasioni delle attività didattiche;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</w:rPr>
        <w:t xml:space="preserve">- servizio informazioni e assistenza qualificata ai visitatori;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</w:rPr>
        <w:t xml:space="preserve">- distribuzione di materiali didattici e informativi del museo e del territorio;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</w:rPr>
        <w:t xml:space="preserve">- raccolta ed elaborazione dei dati relativi alle affluenze;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</w:rPr>
        <w:t xml:space="preserve"> </w:t>
      </w:r>
      <w:r w:rsidRPr="006150BB">
        <w:rPr>
          <w:rFonts w:eastAsia="TimesNewRomanPSMT"/>
          <w:i/>
          <w:iCs/>
        </w:rPr>
        <w:t xml:space="preserve">Biglietteria e vendita dei materiali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</w:rPr>
        <w:t xml:space="preserve">- operazioni di biglietteria, e relativa contabilità;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</w:rPr>
        <w:t>-  vendita di cataloghi, pubblicazioni, gadget e altro materiale realizzato dal Comune</w:t>
      </w:r>
      <w:r w:rsidRPr="006150BB">
        <w:rPr>
          <w:rFonts w:eastAsia="TimesNewRomanPSMT"/>
          <w:b/>
          <w:bCs/>
        </w:rPr>
        <w:t>,</w:t>
      </w:r>
      <w:r w:rsidRPr="006150BB">
        <w:rPr>
          <w:rFonts w:eastAsia="TimesNewRomanPSMT"/>
        </w:rPr>
        <w:t xml:space="preserve"> con relativa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rendicontazione.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  <w:i/>
          <w:iCs/>
        </w:rPr>
        <w:t xml:space="preserve">Attività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- progettazione e gestione di attività a carattere turistico-promozionale volte a migliorare la conoscenza del museo;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</w:rPr>
        <w:t>- progettazione e g</w:t>
      </w:r>
      <w:r w:rsidR="009F7599" w:rsidRPr="006150BB">
        <w:rPr>
          <w:rFonts w:eastAsia="TimesNewRomanPSMT"/>
        </w:rPr>
        <w:t>estione di servizi di laboratorio</w:t>
      </w:r>
      <w:r w:rsidRPr="006150BB">
        <w:rPr>
          <w:rFonts w:eastAsia="TimesNewRomanPSMT"/>
        </w:rPr>
        <w:t xml:space="preserve"> didattici per le scuole e per gli adulti;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- aggiornamento costante del sito internet del Museo, in linea con le indicazioni del Direttore del Museo, con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l’inserimento di dati riferiti alle iniziative e attività;  </w:t>
      </w:r>
    </w:p>
    <w:p w:rsidR="009D66C1" w:rsidRPr="006150BB" w:rsidRDefault="009D66C1" w:rsidP="006150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TimesNewRomanPSMT"/>
        </w:rPr>
      </w:pPr>
      <w:r w:rsidRPr="006150BB">
        <w:rPr>
          <w:rFonts w:eastAsia="TimesNewRomanPSMT"/>
        </w:rPr>
        <w:t>- prenotazioni e tenuta del calendario delle attività didattiche, delle visite e delle iniziative (mostre,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workshop, seminari etc.) organizzate dal Direttore del Museo e collaborazione operativa per il loro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svolgimento;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Arial Unicode MS"/>
          <w:b/>
          <w:bCs/>
          <w:lang w:eastAsia="ar-SA"/>
        </w:rPr>
      </w:pPr>
      <w:r w:rsidRPr="006150BB">
        <w:rPr>
          <w:rFonts w:eastAsia="TimesNewRomanPSMT"/>
          <w:lang w:eastAsia="ar-SA"/>
        </w:rPr>
        <w:t xml:space="preserve">- realizzazione di visite guidate con accompagnamento di singoli o di gruppi. </w:t>
      </w:r>
    </w:p>
    <w:p w:rsidR="009D66C1" w:rsidRPr="006150BB" w:rsidRDefault="009D66C1" w:rsidP="009D66C1">
      <w:pPr>
        <w:autoSpaceDE w:val="0"/>
        <w:spacing w:line="360" w:lineRule="auto"/>
        <w:jc w:val="center"/>
        <w:rPr>
          <w:b/>
          <w:bCs/>
          <w:lang w:eastAsia="ar-SA"/>
        </w:rPr>
      </w:pPr>
    </w:p>
    <w:p w:rsidR="009D66C1" w:rsidRPr="006150BB" w:rsidRDefault="009D66C1" w:rsidP="009D66C1">
      <w:pPr>
        <w:autoSpaceDE w:val="0"/>
        <w:spacing w:line="360" w:lineRule="auto"/>
        <w:jc w:val="center"/>
        <w:rPr>
          <w:lang w:eastAsia="ar-SA"/>
        </w:rPr>
      </w:pPr>
      <w:r w:rsidRPr="006150BB">
        <w:rPr>
          <w:b/>
          <w:bCs/>
          <w:lang w:eastAsia="ar-SA"/>
        </w:rPr>
        <w:t>ART. 2 DURATA</w:t>
      </w:r>
    </w:p>
    <w:p w:rsidR="009D66C1" w:rsidRPr="006150BB" w:rsidRDefault="009D66C1" w:rsidP="009D66C1">
      <w:pPr>
        <w:autoSpaceDE w:val="0"/>
        <w:spacing w:line="360" w:lineRule="auto"/>
        <w:jc w:val="both"/>
        <w:rPr>
          <w:b/>
          <w:bCs/>
          <w:lang w:eastAsia="ar-SA"/>
        </w:rPr>
      </w:pPr>
      <w:r w:rsidRPr="006150BB">
        <w:rPr>
          <w:lang w:eastAsia="ar-SA"/>
        </w:rPr>
        <w:t>Il presente affidamento ha natura temporanea e sperimentale, dalla stipula della convenzione Gennaio 2017 con durata fino al 31 Dicembre 2018, con possibilità di rinnovo dell’affidamento da parte del Comune legato al buon esito dell’iniziativa.</w:t>
      </w:r>
    </w:p>
    <w:p w:rsidR="000A45BF" w:rsidRDefault="000A45BF" w:rsidP="009D66C1">
      <w:pPr>
        <w:autoSpaceDE w:val="0"/>
        <w:spacing w:line="360" w:lineRule="auto"/>
        <w:jc w:val="center"/>
        <w:rPr>
          <w:b/>
          <w:bCs/>
          <w:lang w:eastAsia="ar-SA"/>
        </w:rPr>
      </w:pPr>
    </w:p>
    <w:p w:rsidR="000A45BF" w:rsidRDefault="000A45BF" w:rsidP="009D66C1">
      <w:pPr>
        <w:autoSpaceDE w:val="0"/>
        <w:spacing w:line="360" w:lineRule="auto"/>
        <w:jc w:val="center"/>
        <w:rPr>
          <w:b/>
          <w:bCs/>
          <w:lang w:eastAsia="ar-SA"/>
        </w:rPr>
      </w:pPr>
    </w:p>
    <w:p w:rsidR="009D66C1" w:rsidRPr="006150BB" w:rsidRDefault="009D66C1" w:rsidP="009D66C1">
      <w:pPr>
        <w:autoSpaceDE w:val="0"/>
        <w:spacing w:line="360" w:lineRule="auto"/>
        <w:jc w:val="center"/>
        <w:rPr>
          <w:rFonts w:eastAsia="TimesNewRomanPSMT"/>
          <w:lang w:eastAsia="hi-IN" w:bidi="hi-IN"/>
        </w:rPr>
      </w:pPr>
      <w:r w:rsidRPr="006150BB">
        <w:rPr>
          <w:b/>
          <w:bCs/>
          <w:lang w:eastAsia="ar-SA"/>
        </w:rPr>
        <w:lastRenderedPageBreak/>
        <w:t>ART. 3 ORARIO DI SVOLGIMENTO DEL SERVIZIO E MONTE ORE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Il monte ore complessivo è così distribuito: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Periodo Ottobre - Novembre - Dicembre - Gennaio - Febbraio - Marzo - Aprile (24 ore settimanali)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Mart. Mer. Gio. Ven. ore 9,30 - 13,00 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Sab. ore 15,30 -19,30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Dom. ore 10,00 - 13,00 e 15,00 - 18,00    ( Chiuso il Lunedì )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Periodo Maggio - Giugno - Settembre (24 ore settimanali)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Mart. Mer. Gio. ore 9,30 - 13,30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Ven. Sab. ore 16,00 - 20,00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Dom. ore 15,00 - 19,00  (chiuso il Lunedì)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Periodo Luglio - Agosto (24 ore settimanali)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Mer. ore 10,00 - 13,00 e 17,00 - 20,00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Gio. Ven. ore 10,00 - 13,00 e 17,00 - 21,00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Sab. ore 17,00 - 21,00 (chiuso Lunedì - martedì - domenica)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chiuso nei seguenti giorni: 1 gennaio, domenica di Pasqua, 1  Maggio, 1 novembre, 15 agosto, 25 e 26 dicembre, 31 dicembre (se cade di domenica) e l'ultima settimana di Agosto.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Al monte ore come sopra evidenziato andranno addizionate fino a 24 ore annue, che l'aggiudicatario dovrà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garantire per aperture straordinarie, anche serali, su richiesta dell'Amministrazione e del Direttore per eventi manifestazioni ad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ingresso gratuito.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Durante le chiusure per festività, nel giorno di riposo settimanale e fuori dal normale orario di apertura, il gestore, su prenotazioni e a seguito di preventiva comunicazione all’Ente, dovrà effettuare, se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richiesti, laboratori didattici, visite guidate o altre attività culturali.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Arial Unicode MS"/>
          <w:lang w:eastAsia="ar-SA"/>
        </w:rPr>
      </w:pPr>
      <w:r w:rsidRPr="006150BB">
        <w:rPr>
          <w:rFonts w:eastAsia="TimesNewRomanPSMT"/>
        </w:rPr>
        <w:t xml:space="preserve"> L’amministrazione comunale, in caso di necessità e in relazione alle proprie esigenze, si riserva la facoltà di articolare diversamente l’orario dei servizi appaltati. L’affidatario dovrà adeguarsi conseguentemente a dette </w:t>
      </w:r>
      <w:r w:rsidRPr="006150BB">
        <w:rPr>
          <w:rFonts w:eastAsia="TimesNewRomanPSMT"/>
          <w:lang w:eastAsia="ar-SA"/>
        </w:rPr>
        <w:t>variazioni che saranno comunicate con almeno 7 gg. di anticipo al gestore.</w:t>
      </w:r>
    </w:p>
    <w:p w:rsidR="009D66C1" w:rsidRPr="006150BB" w:rsidRDefault="009D66C1" w:rsidP="009D66C1">
      <w:pPr>
        <w:autoSpaceDE w:val="0"/>
        <w:spacing w:line="360" w:lineRule="auto"/>
        <w:jc w:val="center"/>
        <w:rPr>
          <w:lang w:eastAsia="ar-SA"/>
        </w:rPr>
      </w:pPr>
    </w:p>
    <w:p w:rsidR="009D66C1" w:rsidRPr="006150BB" w:rsidRDefault="009D66C1" w:rsidP="009D66C1">
      <w:pPr>
        <w:autoSpaceDE w:val="0"/>
        <w:spacing w:line="360" w:lineRule="auto"/>
        <w:jc w:val="center"/>
        <w:rPr>
          <w:rFonts w:eastAsia="TimesNewRomanPSMT"/>
          <w:lang w:eastAsia="hi-IN" w:bidi="hi-IN"/>
        </w:rPr>
      </w:pPr>
      <w:r w:rsidRPr="006150BB">
        <w:rPr>
          <w:b/>
          <w:bCs/>
          <w:lang w:eastAsia="ar-SA"/>
        </w:rPr>
        <w:t>ART. 4 OBBLIGHI DEL GESTORE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Il gestore si obbliga: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- a seguire gli indirizzi guida posti dal Direttore del Museo quale referente dell'Ente e organo decisionale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come disciplinato dal regolamento del museo;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- ad attenersi alla carta dei servizi e al regolamento del museo;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- a raccogliere i dati degli utenti secondo le modalità stabilite dall’Ente. Tali dati resteranno di proprietà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dell’Ente e non potranno essere né utilizzati dal soggetto aggiudicatario, né ceduti a terzi;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- a garantire il rispetto della puntualità degli orari dei servizi;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- ad individuare, per lo svolgimento dei servizi, un gruppo costante di persone di fiducia (min 2) in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possesso di adeguati titoli e competenze professionali, che garantiscano la corretta e continuativa esecuzione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dei servizi. La sostituzione eventuale del personale dovrà essere comunicata tempestivamente all’ente.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Il sostituto dovrà avere titoli, qualifiche ed esperienze analoghe al precedente personale impiegato.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Nell’ambito di queste persone, di cui dovrà essere fornito l’elenco, il curriculum e la tipologia del contratto lavorativo, dovrà essere designato un responsabile in possesso di laurea in indirizzo antropologico o storico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artistico;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lastRenderedPageBreak/>
        <w:t>- a prevedere la contemporanea presenza di almeno due persone, in occasione dello svolgimento dei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laboratori e visite didattiche al Museo e delle varie attività ivi organizzate;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- a provvedere al riordino dei locali e degli arredi;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- a segnalare al Direttore e all’ufficio comunale competente eventuali disfunzioni alla struttura o agli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impianti;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- a raccogliere richieste e osservazioni dei visitatori e segnalarle al Direttore e all’ufficio competente;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Arial Unicode MS"/>
          <w:lang w:eastAsia="ar-SA"/>
        </w:rPr>
      </w:pPr>
      <w:r w:rsidRPr="006150BB">
        <w:rPr>
          <w:rFonts w:eastAsia="TimesNewRomanPSMT"/>
        </w:rPr>
        <w:t>- ad osservare gli accorgimenti atti a garantire l’economicità e l’uso corretto delle strutture, delle attrezzature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  <w:lang w:eastAsia="ar-SA"/>
        </w:rPr>
        <w:t xml:space="preserve">e degli impianti. </w:t>
      </w:r>
    </w:p>
    <w:p w:rsidR="009D66C1" w:rsidRPr="006150BB" w:rsidRDefault="009D66C1" w:rsidP="009D66C1">
      <w:pPr>
        <w:autoSpaceDE w:val="0"/>
        <w:spacing w:line="360" w:lineRule="auto"/>
        <w:jc w:val="both"/>
        <w:rPr>
          <w:lang w:eastAsia="ar-SA"/>
        </w:rPr>
      </w:pPr>
    </w:p>
    <w:p w:rsidR="009D66C1" w:rsidRPr="006150BB" w:rsidRDefault="009D66C1" w:rsidP="009D66C1">
      <w:pPr>
        <w:autoSpaceDE w:val="0"/>
        <w:spacing w:line="360" w:lineRule="auto"/>
        <w:jc w:val="center"/>
        <w:rPr>
          <w:lang w:eastAsia="ar-SA"/>
        </w:rPr>
      </w:pPr>
      <w:r w:rsidRPr="006150BB">
        <w:rPr>
          <w:b/>
          <w:bCs/>
          <w:lang w:eastAsia="ar-SA"/>
        </w:rPr>
        <w:t>ART. 5 OBBLIGHI DEL COMUNE</w:t>
      </w:r>
    </w:p>
    <w:p w:rsidR="009D66C1" w:rsidRPr="006150BB" w:rsidRDefault="009D66C1" w:rsidP="009D66C1">
      <w:pPr>
        <w:autoSpaceDE w:val="0"/>
        <w:spacing w:line="360" w:lineRule="auto"/>
        <w:jc w:val="both"/>
        <w:rPr>
          <w:lang w:eastAsia="ar-SA"/>
        </w:rPr>
      </w:pPr>
      <w:r w:rsidRPr="006150BB">
        <w:rPr>
          <w:lang w:eastAsia="ar-SA"/>
        </w:rPr>
        <w:t>Il Comune deve:</w:t>
      </w:r>
    </w:p>
    <w:p w:rsidR="009D66C1" w:rsidRPr="006150BB" w:rsidRDefault="009D66C1" w:rsidP="009D66C1">
      <w:pPr>
        <w:autoSpaceDE w:val="0"/>
        <w:spacing w:line="360" w:lineRule="auto"/>
        <w:jc w:val="both"/>
        <w:rPr>
          <w:lang w:eastAsia="ar-SA"/>
        </w:rPr>
      </w:pPr>
      <w:r w:rsidRPr="006150BB">
        <w:rPr>
          <w:lang w:eastAsia="ar-SA"/>
        </w:rPr>
        <w:t>a) consegnare al gestore le chiavi del Museo per l’intero periodo dell’affidamento con verbale di consegna;</w:t>
      </w:r>
    </w:p>
    <w:p w:rsidR="009D66C1" w:rsidRPr="006150BB" w:rsidRDefault="009D66C1" w:rsidP="009D66C1">
      <w:pPr>
        <w:autoSpaceDE w:val="0"/>
        <w:spacing w:line="360" w:lineRule="auto"/>
        <w:jc w:val="both"/>
        <w:rPr>
          <w:lang w:eastAsia="ar-SA"/>
        </w:rPr>
      </w:pPr>
      <w:r w:rsidRPr="006150BB">
        <w:rPr>
          <w:lang w:eastAsia="ar-SA"/>
        </w:rPr>
        <w:t>b) provvedere al pagamento di tutte le utenze dei locali;</w:t>
      </w:r>
    </w:p>
    <w:p w:rsidR="009D66C1" w:rsidRPr="006150BB" w:rsidRDefault="009D66C1" w:rsidP="009D66C1">
      <w:pPr>
        <w:autoSpaceDE w:val="0"/>
        <w:spacing w:line="360" w:lineRule="auto"/>
        <w:jc w:val="both"/>
        <w:rPr>
          <w:lang w:eastAsia="hi-IN" w:bidi="hi-IN"/>
        </w:rPr>
      </w:pPr>
      <w:r w:rsidRPr="006150BB">
        <w:rPr>
          <w:lang w:eastAsia="ar-SA"/>
        </w:rPr>
        <w:t>c) assicurare la manutenzione straordinaria alla struttura e agli impianti.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</w:pP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  <w:b/>
          <w:bCs/>
        </w:rPr>
        <w:t>ART. 6 TARIFFE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Le tariffe dei servizi sono stabilite dalla Carta dei servizi del Museo.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L’ingresso dei visitatori al Museo è consentito previo acquisto di biglietti che il personale della ditta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aggiudicataria è tenuto a staccare da appositi blocchetti a madre e figlia, forniti dall’Ente.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Le tariffe e la tipologia dell’utenza potranno essere oggetto di revisione da parte dell’Amministrazione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Comunale.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Delle eventuali modifiche sarà data tempestiva comunicazione alla ditta affidataria.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I laboratori e le attività di cui sopra, dovranno essere presentati nel dettaglio (modalità e materiali utilizzati)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per la successiva approvazione.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Eventuali altri progetti a costi diversi da quelli nella carta dei servizi del museo, dovranno essere approvati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dall’Amministrazione.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Arial Unicode MS"/>
        </w:rPr>
      </w:pPr>
      <w:r w:rsidRPr="006150BB">
        <w:rPr>
          <w:rFonts w:eastAsia="TimesNewRomanPSMT"/>
        </w:rPr>
        <w:t xml:space="preserve">Gli incassi relativi ai biglietti di ingresso, alle visite guidate, ai laboratori didattici e alle diverse attività </w:t>
      </w:r>
      <w:r w:rsidRPr="006150BB">
        <w:rPr>
          <w:rFonts w:eastAsia="TimesNewRomanPSMT"/>
          <w:lang w:eastAsia="ar-SA"/>
        </w:rPr>
        <w:t>proposte saranno versati all’Ente.</w:t>
      </w:r>
      <w:r w:rsidRPr="006150BB">
        <w:rPr>
          <w:rFonts w:eastAsia="Helvetica"/>
          <w:lang w:eastAsia="ar-S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</w:pPr>
    </w:p>
    <w:p w:rsidR="009D66C1" w:rsidRPr="006150BB" w:rsidRDefault="009D66C1" w:rsidP="009D66C1">
      <w:pPr>
        <w:autoSpaceDE w:val="0"/>
        <w:spacing w:line="360" w:lineRule="auto"/>
        <w:jc w:val="center"/>
        <w:rPr>
          <w:rFonts w:eastAsia="TimesNewRomanPSMT"/>
          <w:lang w:eastAsia="ar-SA"/>
        </w:rPr>
      </w:pPr>
      <w:r w:rsidRPr="006150BB">
        <w:rPr>
          <w:b/>
          <w:bCs/>
          <w:lang w:eastAsia="ar-SA"/>
        </w:rPr>
        <w:t>ART. 7 CORRISPETTIVO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Arial Unicode MS"/>
          <w:lang w:eastAsia="hi-IN" w:bidi="hi-IN"/>
        </w:rPr>
      </w:pPr>
      <w:r w:rsidRPr="006150BB">
        <w:rPr>
          <w:rFonts w:eastAsia="TimesNewRomanPSMT"/>
          <w:lang w:eastAsia="ar-SA"/>
        </w:rPr>
        <w:t>Il corrispettivo del servizio per tutta la durata del contratto è di € 22.000,00 omni comprensivo, e comprende anche le ore di apertura per servizi</w:t>
      </w:r>
      <w:r w:rsidRPr="006150BB">
        <w:rPr>
          <w:rFonts w:eastAsia="Helvetica"/>
          <w:lang w:eastAsia="ar-SA"/>
        </w:rPr>
        <w:t xml:space="preserve"> </w:t>
      </w:r>
      <w:r w:rsidRPr="006150BB">
        <w:rPr>
          <w:rFonts w:eastAsia="TimesNewRomanPSMT"/>
          <w:lang w:eastAsia="ar-SA"/>
        </w:rPr>
        <w:t>straordinari, anche serali su richiesta del Direttore e dell'Amministrazione da effettuare con personale</w:t>
      </w:r>
      <w:r w:rsidRPr="006150BB">
        <w:rPr>
          <w:rFonts w:eastAsia="Helvetica"/>
          <w:lang w:eastAsia="ar-SA"/>
        </w:rPr>
        <w:t xml:space="preserve"> </w:t>
      </w:r>
      <w:r w:rsidRPr="006150BB">
        <w:rPr>
          <w:rFonts w:eastAsia="TimesNewRomanPSMT"/>
          <w:lang w:eastAsia="ar-SA"/>
        </w:rPr>
        <w:t xml:space="preserve">qualificato;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</w:pP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  <w:b/>
          <w:bCs/>
        </w:rPr>
        <w:t>ART. 8 PAGAMENTI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L’Amministrazione Comunale corrisponderà al gestore un compenso mensile pari ad 1/24.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Il gestore, dovrà provvedere entro la data di emissione della fattura ad effettuare i versamenti derivanti da: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 - attività di laboratorio, biglietti d’ingresso, visite guidate e altre attività promozionali;</w:t>
      </w:r>
      <w:r w:rsidRPr="006150BB">
        <w:rPr>
          <w:rFonts w:eastAsia="Helvetica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Helvetica"/>
        </w:rPr>
      </w:pPr>
      <w:r w:rsidRPr="006150BB">
        <w:rPr>
          <w:rFonts w:eastAsia="TimesNewRomanPSMT"/>
        </w:rPr>
        <w:t xml:space="preserve">Il gestore, dovrà provvedere inoltre, entro la data di emissione della fattura a presentare: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Helvetica"/>
        </w:rPr>
      </w:pPr>
      <w:r w:rsidRPr="006150BB">
        <w:rPr>
          <w:rFonts w:eastAsia="Helvetica"/>
        </w:rPr>
        <w:t xml:space="preserve">- </w:t>
      </w:r>
      <w:r w:rsidRPr="006150BB">
        <w:rPr>
          <w:rFonts w:eastAsia="TimesNewRomanPSMT"/>
        </w:rPr>
        <w:t>il resoconto di biglietti staccati con l’indicazione della categoria (intero, ridotto e gratuito) nonché il totale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degli incassi del mese;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Helvetica"/>
        </w:rPr>
      </w:pPr>
      <w:r w:rsidRPr="006150BB">
        <w:rPr>
          <w:rFonts w:eastAsia="Helvetica"/>
        </w:rPr>
        <w:t xml:space="preserve"> - </w:t>
      </w:r>
      <w:r w:rsidRPr="006150BB">
        <w:rPr>
          <w:rFonts w:eastAsia="TimesNewRomanPSMT"/>
        </w:rPr>
        <w:t xml:space="preserve"> il resoconto delle attività didattiche svolte con la specifica dei soggetti richiedenti;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Helvetica"/>
        </w:rPr>
      </w:pPr>
      <w:r w:rsidRPr="006150BB">
        <w:rPr>
          <w:rFonts w:eastAsia="Helvetica"/>
        </w:rPr>
        <w:t xml:space="preserve"> - </w:t>
      </w:r>
      <w:r w:rsidRPr="006150BB">
        <w:rPr>
          <w:rFonts w:eastAsia="TimesNewRomanPSMT"/>
        </w:rPr>
        <w:t xml:space="preserve"> il resoconto del materiale venduto per conto dell’Ente (se esistente);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Helvetica"/>
        </w:rPr>
        <w:lastRenderedPageBreak/>
        <w:t xml:space="preserve"> -</w:t>
      </w:r>
      <w:r w:rsidRPr="006150BB">
        <w:rPr>
          <w:rFonts w:eastAsia="TimesNewRomanPSMT"/>
        </w:rPr>
        <w:t xml:space="preserve"> la statistica mensile dei visitatori compilata su apposito schema concordato con l’Ente.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I pagamenti saranno effettuati entro 30 gg. dalla data di ricevimento della fattura. Il suddetto termine resta sospeso in caso di contestazione formale del servizio prestato o in caso di irregolarità del DURC di cui al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D.M. 24/10/07 e s.m.i e integrazioni.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In caso di astensione dal lavoro di personale continuativamente impiegato, il gestore dovrà essere comunque assicurata la continuità e la regolarità delle prestazioni, sostituendo immediatamente il personale assente con </w:t>
      </w:r>
      <w:r w:rsidRPr="006150BB">
        <w:rPr>
          <w:rFonts w:eastAsia="TimesNewRomanPSMT"/>
          <w:lang w:eastAsia="ar-SA"/>
        </w:rPr>
        <w:t xml:space="preserve">altro di medesima qualifica.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lang w:eastAsia="ar-SA"/>
        </w:rPr>
      </w:pPr>
      <w:r w:rsidRPr="006150BB">
        <w:rPr>
          <w:rFonts w:eastAsia="TimesNewRomanPSMT"/>
          <w:b/>
          <w:bCs/>
        </w:rPr>
        <w:t>ART. 9 MODALITA' DI AGGIUDICAZIONE</w:t>
      </w:r>
    </w:p>
    <w:p w:rsidR="009D66C1" w:rsidRPr="006150BB" w:rsidRDefault="009D66C1" w:rsidP="009D66C1">
      <w:pPr>
        <w:pStyle w:val="Intestazione1"/>
        <w:tabs>
          <w:tab w:val="left" w:pos="708"/>
        </w:tabs>
        <w:autoSpaceDE w:val="0"/>
        <w:spacing w:line="360" w:lineRule="auto"/>
        <w:jc w:val="both"/>
        <w:rPr>
          <w:rFonts w:eastAsia="Times New Roman" w:cs="Times New Roman"/>
          <w:sz w:val="20"/>
          <w:szCs w:val="20"/>
          <w:lang w:eastAsia="ar-SA" w:bidi="ar-SA"/>
        </w:rPr>
      </w:pPr>
      <w:r w:rsidRPr="006150BB">
        <w:rPr>
          <w:rFonts w:eastAsia="Times New Roman" w:cs="Times New Roman"/>
          <w:sz w:val="20"/>
          <w:szCs w:val="20"/>
          <w:lang w:eastAsia="ar-SA" w:bidi="ar-SA"/>
        </w:rPr>
        <w:t>La scelta dell’aggiudicatario avverrà in base alla presentazione e realizzazione di un progetto di gestione, promozione e valorizzazione dei servizi museali:</w:t>
      </w:r>
    </w:p>
    <w:p w:rsidR="009D66C1" w:rsidRPr="006150BB" w:rsidRDefault="009D66C1" w:rsidP="009D66C1">
      <w:pPr>
        <w:pStyle w:val="Intestazione1"/>
        <w:tabs>
          <w:tab w:val="left" w:pos="708"/>
        </w:tabs>
        <w:autoSpaceDE w:val="0"/>
        <w:spacing w:line="360" w:lineRule="auto"/>
        <w:jc w:val="both"/>
        <w:rPr>
          <w:rFonts w:eastAsia="Times New Roman" w:cs="Times New Roman"/>
          <w:sz w:val="20"/>
          <w:szCs w:val="20"/>
          <w:lang w:eastAsia="ar-SA" w:bidi="ar-SA"/>
        </w:rPr>
      </w:pPr>
      <w:r w:rsidRPr="006150BB">
        <w:rPr>
          <w:rFonts w:eastAsia="Times New Roman" w:cs="Times New Roman"/>
          <w:sz w:val="20"/>
          <w:szCs w:val="20"/>
          <w:lang w:eastAsia="ar-SA" w:bidi="ar-SA"/>
        </w:rPr>
        <w:t xml:space="preserve">a) CV operatori messi a disposizione - del soggetto proponente - per la realizzazione del progetto </w:t>
      </w:r>
      <w:r w:rsidRPr="006150BB">
        <w:rPr>
          <w:rFonts w:eastAsia="Times New Roman" w:cs="Times New Roman"/>
          <w:b/>
          <w:bCs/>
          <w:sz w:val="20"/>
          <w:szCs w:val="20"/>
          <w:lang w:eastAsia="ar-SA" w:bidi="ar-SA"/>
        </w:rPr>
        <w:t>(Max 10 punti)</w:t>
      </w:r>
      <w:r w:rsidRPr="006150BB">
        <w:rPr>
          <w:rFonts w:eastAsia="Times New Roman" w:cs="Times New Roman"/>
          <w:sz w:val="20"/>
          <w:szCs w:val="20"/>
          <w:lang w:eastAsia="ar-SA" w:bidi="ar-SA"/>
        </w:rPr>
        <w:t>;</w:t>
      </w:r>
    </w:p>
    <w:p w:rsidR="009D66C1" w:rsidRPr="006150BB" w:rsidRDefault="009D66C1" w:rsidP="009D66C1">
      <w:pPr>
        <w:pStyle w:val="Intestazione1"/>
        <w:tabs>
          <w:tab w:val="left" w:pos="708"/>
        </w:tabs>
        <w:autoSpaceDE w:val="0"/>
        <w:spacing w:line="360" w:lineRule="auto"/>
        <w:jc w:val="both"/>
        <w:rPr>
          <w:rFonts w:eastAsia="Times New Roman" w:cs="Times New Roman"/>
          <w:sz w:val="20"/>
          <w:szCs w:val="20"/>
          <w:lang w:eastAsia="ar-SA" w:bidi="ar-SA"/>
        </w:rPr>
      </w:pPr>
      <w:r w:rsidRPr="006150BB">
        <w:rPr>
          <w:rFonts w:eastAsia="Times New Roman" w:cs="Times New Roman"/>
          <w:sz w:val="20"/>
          <w:szCs w:val="20"/>
          <w:lang w:eastAsia="ar-SA" w:bidi="ar-SA"/>
        </w:rPr>
        <w:t xml:space="preserve">b) Attività affini svolte dal soggetto proponente in ambito di promozione e valorizzazione e promozione di Beni Culturali </w:t>
      </w:r>
      <w:r w:rsidRPr="006150BB">
        <w:rPr>
          <w:rFonts w:eastAsia="Times New Roman" w:cs="Times New Roman"/>
          <w:b/>
          <w:bCs/>
          <w:sz w:val="20"/>
          <w:szCs w:val="20"/>
          <w:lang w:eastAsia="ar-SA" w:bidi="ar-SA"/>
        </w:rPr>
        <w:t>(Max 10 punti)</w:t>
      </w:r>
      <w:r w:rsidRPr="006150BB">
        <w:rPr>
          <w:rFonts w:eastAsia="Times New Roman" w:cs="Times New Roman"/>
          <w:sz w:val="20"/>
          <w:szCs w:val="20"/>
          <w:lang w:eastAsia="ar-SA" w:bidi="ar-SA"/>
        </w:rPr>
        <w:t>;</w:t>
      </w:r>
    </w:p>
    <w:p w:rsidR="009D66C1" w:rsidRPr="006150BB" w:rsidRDefault="009D66C1" w:rsidP="009D66C1">
      <w:pPr>
        <w:pStyle w:val="Intestazione1"/>
        <w:tabs>
          <w:tab w:val="left" w:pos="708"/>
        </w:tabs>
        <w:autoSpaceDE w:val="0"/>
        <w:spacing w:line="360" w:lineRule="auto"/>
        <w:jc w:val="both"/>
        <w:rPr>
          <w:rFonts w:eastAsia="TimesNewRomanPSMT" w:cs="Times New Roman"/>
          <w:sz w:val="20"/>
          <w:szCs w:val="20"/>
        </w:rPr>
      </w:pPr>
      <w:r w:rsidRPr="006150BB">
        <w:rPr>
          <w:rFonts w:eastAsia="Times New Roman" w:cs="Times New Roman"/>
          <w:sz w:val="20"/>
          <w:szCs w:val="20"/>
          <w:lang w:eastAsia="ar-SA" w:bidi="ar-SA"/>
        </w:rPr>
        <w:t xml:space="preserve">c) Qualità dell’offerta progettuale </w:t>
      </w:r>
      <w:r w:rsidRPr="006150BB">
        <w:rPr>
          <w:rFonts w:eastAsia="Times New Roman" w:cs="Times New Roman"/>
          <w:b/>
          <w:bCs/>
          <w:sz w:val="20"/>
          <w:szCs w:val="20"/>
          <w:lang w:eastAsia="ar-SA" w:bidi="ar-SA"/>
        </w:rPr>
        <w:t>(Max 80 punti)</w:t>
      </w:r>
      <w:r w:rsidRPr="006150BB">
        <w:rPr>
          <w:rFonts w:eastAsia="Times New Roman" w:cs="Times New Roman"/>
          <w:sz w:val="20"/>
          <w:szCs w:val="20"/>
          <w:lang w:eastAsia="ar-SA" w:bidi="ar-SA"/>
        </w:rPr>
        <w:t xml:space="preserve">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I punteggi di cui alle lettere a), b) e c) sono attribuiti attraverso la valutazione degli elementi di seguito indicati e ricavati dalla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documentazione presentata: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1) qualificazione, esperienze e numero del personale che sarà adibito al servizio, con particolare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riferimento ai titoli di studio e formativi, alla conoscenza delle lingue straniere, alle attività didattiche svolte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nel settore e alla preparazione informatica;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2) elaborazione di un progetto sintetico (max 10 cartelle) delle attività didattiche propedeutiche alla conoscenza delle discipline presenti nel museo e la conoscenza del territorio del Comune di Pontinia e della Provincia di Latina;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3) elaborazione di un progetto sintetico (max 5 cartelle) di promozione e comunicazione con l’indicazione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delle strategie che verranno adottate per promuovere a vari livelli le attività inerenti il Museo, l'annesso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Padiglione Ex Torre Idrica e le emergenze culturali del territorio;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4) presentazione del portfolio aziendale riguardante la gestione di servizi museali e le attività didattiche di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ambito museale svolte.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L’aggiudicazione potrà avvenire anche in presenza di una sola proposta valida e congrua, non anomala ai sensi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di legge</w:t>
      </w:r>
      <w:r w:rsidRPr="006150BB">
        <w:rPr>
          <w:rFonts w:eastAsia="TimesNewRomanPSMT"/>
          <w:b/>
          <w:bCs/>
        </w:rPr>
        <w:t xml:space="preserve">. </w:t>
      </w:r>
      <w:r w:rsidRPr="006150BB">
        <w:rPr>
          <w:rFonts w:eastAsia="TimesNewRomanPSMT"/>
        </w:rPr>
        <w:t>L’ente appaltante si riserva comunque la più ampia facoltà di non aggiudicare il servizio nel caso in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cui nessuna delle proposte presentate venga ritenuta idonea.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b/>
          <w:bCs/>
        </w:rPr>
      </w:pPr>
      <w:r w:rsidRPr="006150BB">
        <w:rPr>
          <w:rFonts w:eastAsia="TimesNewRomanPSMT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  <w:b/>
          <w:bCs/>
        </w:rPr>
        <w:t>ART. 10 LOCALI E STRUTTURE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L’Amministrazione Comunale consegna al gestore i locali adibiti a Museo ubicati in Pontinia Piazza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J.F. Kennedy n.1 e Piazza Roma n.1 con le strutture, gli arredi ed i reperti ivi conservati.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Successivamente all’aggiudicazione e prima dell’inizio del servizio, sarà redatto apposito verbale di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consegna da sottoscrivere in contraddittorio fra le parti.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Arial Unicode MS"/>
        </w:rPr>
      </w:pPr>
      <w:r w:rsidRPr="006150BB">
        <w:rPr>
          <w:rFonts w:eastAsia="TimesNewRomanPSMT"/>
        </w:rPr>
        <w:t xml:space="preserve">Contemporaneamente saranno consegnate al gestore le disposizioni inerenti le norme di sicurezza da rispettare tassativamente a tutela dei visitatori del Museo.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</w:pPr>
    </w:p>
    <w:p w:rsidR="000A45BF" w:rsidRDefault="000A45BF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lang w:eastAsia="ar-SA"/>
        </w:rPr>
      </w:pPr>
      <w:r w:rsidRPr="006150BB">
        <w:rPr>
          <w:rFonts w:eastAsia="TimesNewRomanPSMT"/>
        </w:rPr>
        <w:lastRenderedPageBreak/>
        <w:t xml:space="preserve"> </w:t>
      </w:r>
      <w:r w:rsidRPr="006150BB">
        <w:rPr>
          <w:rFonts w:eastAsia="TimesNewRomanPSMT"/>
          <w:b/>
          <w:bCs/>
        </w:rPr>
        <w:t>ART. 11 ASSICURAZIONE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b/>
          <w:bCs/>
          <w:lang w:eastAsia="hi-IN" w:bidi="hi-IN"/>
        </w:rPr>
      </w:pPr>
      <w:r w:rsidRPr="006150BB">
        <w:rPr>
          <w:rFonts w:eastAsia="TimesNewRomanPSMT"/>
          <w:lang w:eastAsia="ar-SA"/>
        </w:rPr>
        <w:t>Il Comune per l’intera durata dell’affidamento garantirà una copertura assicurativa di responsabilità civile verso terzi a copertura di qualsiasi danno che possa derivare a persone, cose proprie e/o di terzi in dipendenza dell’attività svolta.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b/>
          <w:bCs/>
        </w:rPr>
      </w:pPr>
      <w:r w:rsidRPr="006150BB">
        <w:rPr>
          <w:rFonts w:eastAsia="TimesNewRomanPSMT"/>
          <w:b/>
          <w:bCs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  <w:b/>
          <w:bCs/>
        </w:rPr>
        <w:t xml:space="preserve">ART. 12 CONTRATTI DI LAVORO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b/>
          <w:bCs/>
        </w:rPr>
      </w:pPr>
      <w:r w:rsidRPr="006150BB">
        <w:rPr>
          <w:rFonts w:eastAsia="TimesNewRomanPSMT"/>
        </w:rPr>
        <w:t xml:space="preserve">Il gestore è tenuto ad osservare gli obblighi stabiliti dalla legge relativamente ai contratti di lavoro ed alla assicurazione del personale contro gli infortuni sul lavoro, all'assicurazione malattie e alla previdenza sociale. </w:t>
      </w:r>
      <w:r w:rsidRPr="006150BB">
        <w:rPr>
          <w:rFonts w:eastAsia="TimesNewRomanPSMT"/>
          <w:b/>
          <w:bCs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b/>
          <w:bCs/>
        </w:rPr>
      </w:pP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  <w:b/>
          <w:bCs/>
        </w:rPr>
        <w:t xml:space="preserve">ART. 13 SPESE CONTRATTUALI, IMPOSTE E TASSE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Sono a carico del gestore tutte le spese relative e conseguenti la stipula del contratto d’appalto, le imposte o tasse collegate secondo la normativa vigente. L’amministrazione comunale si riserva, in caso di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urgenza e/o necessità, di richiedere l’avvio della prestazione anche in pendenza della stipula del contratto. 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Arial Unicode MS"/>
        </w:rPr>
      </w:pP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  <w:b/>
          <w:bCs/>
        </w:rPr>
        <w:t>ART. 14</w:t>
      </w:r>
      <w:r w:rsidRPr="006150BB">
        <w:rPr>
          <w:rFonts w:eastAsia="TimesNewRomanPSMT"/>
        </w:rPr>
        <w:t xml:space="preserve"> </w:t>
      </w:r>
      <w:r w:rsidRPr="006150BB">
        <w:rPr>
          <w:rFonts w:eastAsia="TimesNewRomanPSMT"/>
          <w:b/>
          <w:bCs/>
        </w:rPr>
        <w:t xml:space="preserve">RESPONSABILITA'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 xml:space="preserve">Per quanto non regolamentato si richiamano le disposizioni di legge in materia, in quanto applicabili e computabili con la natura del servizio in oggetto; resta sempre però esonerato il Comune di Pontinia da qualsiasi responsabilità per danni che al gestore ed a terzi potessero derivare dalla presente gestione.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Nello svolgimento dell’attività di cui al presente contratto l’aggiudicataria si impegna, altresì, al rispetto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della normativa prevista dal D.Lgs. 30.06.2003 n. 196 in materia di trattamento di dati personali e sensibili.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</w:rPr>
        <w:t xml:space="preserve"> </w:t>
      </w:r>
      <w:r w:rsidRPr="006150BB">
        <w:rPr>
          <w:rFonts w:eastAsia="TimesNewRomanPSMT"/>
          <w:b/>
          <w:bCs/>
        </w:rPr>
        <w:t>ART. 15 CONTROLLI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Il Comune di Pontinia si riserva la facoltà di effettuare controlli sulle dichiarazioni e/o autocertificazioni rese dall’aggiudicataria in sede di partecipazione alla gara ai sensi degli artt. 45 e 46 del D.P.R. 445/2000  e s.m.i. Qualora dall’esito degli stessi risultassero dichiarazioni mendaci e/o non corrispondenti a verità, si procederà ai sensi degli artt. 75 e 76  dello stesso D.P.R. 445/2000, ivi compresa la rescissione immediata del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contratto e la conseguente aggiudicazione all’impresa che segue nella graduatoria.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L’amministrazione comunale si riserva la facoltà di effettuare controlli ai fine di verificare il buon andamento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>ed il corretto svolgimento del servizio, nonché la rispondenza della qualità dello stesso alle prestazioni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richieste con il presente capitolato ed al progetto tecnico presentato dal gestore in sede di gara.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L’amministrazione comunale si riserva inoltre la facoltà di individuare modalità di valutazione e di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gradimento della qualità dei servizi offerti da parte dei visitatori e dell’utenza.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Le risultanze dello stesso sono comunicate al gestore, la quale è tenuta a porre in essere ogni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possibile accorgimento atto a migliorare la qualità del servizio.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b/>
          <w:bCs/>
        </w:rPr>
      </w:pPr>
      <w:r w:rsidRPr="006150BB">
        <w:rPr>
          <w:rFonts w:eastAsia="TimesNewRomanPSMT"/>
        </w:rPr>
        <w:t xml:space="preserve">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  <w:b/>
          <w:bCs/>
        </w:rPr>
        <w:t>ART. 16 INADEMPIENZE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  <w:b/>
          <w:bCs/>
        </w:rPr>
      </w:pPr>
      <w:r w:rsidRPr="006150BB">
        <w:rPr>
          <w:rFonts w:eastAsia="TimesNewRomanPSMT"/>
        </w:rPr>
        <w:t>Qualora nell'espletamento dei servizi si verificassero inadempienze e il gestore avutone avviso scritto,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non provvedesse subito a rimuoverle, il Comune può provvedere d’ufficio, senza intimazioni di mora, a trattenere l'importo corrispondente sul corrispettivo che è tenuto ad erogare giungendo, all'occorrenza, alla rescissione del contratto, senza che il gestore abbia nulla a pretendere dalla data di rescissione. 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b/>
          <w:bCs/>
        </w:rPr>
      </w:pPr>
    </w:p>
    <w:p w:rsidR="006150BB" w:rsidRDefault="006150BB" w:rsidP="006150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  <w:b/>
          <w:bCs/>
        </w:rPr>
      </w:pPr>
    </w:p>
    <w:p w:rsidR="006150BB" w:rsidRDefault="009D66C1" w:rsidP="006150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  <w:b/>
          <w:bCs/>
        </w:rPr>
        <w:lastRenderedPageBreak/>
        <w:t xml:space="preserve">ART. 17 </w:t>
      </w:r>
      <w:r w:rsidR="006150BB" w:rsidRPr="006150BB">
        <w:rPr>
          <w:rFonts w:eastAsia="TimesNewRomanPSMT"/>
          <w:b/>
          <w:bCs/>
        </w:rPr>
        <w:t>ORGANO DI VALUTAZIONE</w:t>
      </w:r>
    </w:p>
    <w:p w:rsidR="006150BB" w:rsidRPr="006150BB" w:rsidRDefault="006150BB" w:rsidP="006150B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>
        <w:t xml:space="preserve"> L</w:t>
      </w:r>
      <w:r w:rsidRPr="006150BB">
        <w:t>e proposte progettuali saranno valutate direttamene dal RUP oppure da un organo monocratico della stazione appaltante perché trattasi di affidamento sotto soglia con il criterio del prezzo fisso: come meglio specificato nel documento di consultazione ANAC – AUTORITA’ NAZIONALE ANTICORRUZIONE – in merito all’art. 77 del nuovo codice degli appalti D.Lgs. 50/2016;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</w:pP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center"/>
        <w:rPr>
          <w:rFonts w:eastAsia="TimesNewRomanPSMT"/>
        </w:rPr>
      </w:pPr>
      <w:r w:rsidRPr="006150BB">
        <w:rPr>
          <w:rFonts w:eastAsia="TimesNewRomanPSMT"/>
        </w:rPr>
        <w:t xml:space="preserve"> </w:t>
      </w:r>
      <w:r w:rsidRPr="006150BB">
        <w:rPr>
          <w:rFonts w:eastAsia="TimesNewRomanPSMT"/>
          <w:b/>
          <w:bCs/>
        </w:rPr>
        <w:t>ART. 18 CONTROVERSIE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jc w:val="both"/>
        <w:rPr>
          <w:rFonts w:eastAsia="TimesNewRomanPSMT"/>
        </w:rPr>
      </w:pPr>
      <w:r w:rsidRPr="006150BB">
        <w:rPr>
          <w:rFonts w:eastAsia="TimesNewRomanPSMT"/>
        </w:rPr>
        <w:t>Per tutte le controversie fra il Comune e l’aggiudicataria che non si siano potute definire in via</w:t>
      </w:r>
      <w:r w:rsidRPr="006150BB">
        <w:rPr>
          <w:rFonts w:eastAsia="Helvetica"/>
        </w:rPr>
        <w:t xml:space="preserve"> </w:t>
      </w:r>
      <w:r w:rsidRPr="006150BB">
        <w:rPr>
          <w:rFonts w:eastAsia="TimesNewRomanPSMT"/>
        </w:rPr>
        <w:t xml:space="preserve">amministrativa è competente in via esclusiva il Foro di Latina. </w:t>
      </w:r>
    </w:p>
    <w:p w:rsidR="009D66C1" w:rsidRPr="006150BB" w:rsidRDefault="009D66C1" w:rsidP="009D66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360" w:lineRule="auto"/>
        <w:rPr>
          <w:rFonts w:eastAsia="Arial Unicode MS"/>
          <w:i/>
          <w:iCs/>
          <w:lang w:eastAsia="ar-SA"/>
        </w:rPr>
      </w:pPr>
      <w:r w:rsidRPr="006150BB">
        <w:rPr>
          <w:rFonts w:eastAsia="TimesNewRomanPSMT"/>
          <w:lang w:eastAsia="ar-SA"/>
        </w:rPr>
        <w:t xml:space="preserve"> </w:t>
      </w:r>
    </w:p>
    <w:p w:rsidR="009D66C1" w:rsidRPr="006150BB" w:rsidRDefault="009D66C1" w:rsidP="009D66C1">
      <w:pPr>
        <w:autoSpaceDE w:val="0"/>
        <w:spacing w:line="360" w:lineRule="auto"/>
        <w:jc w:val="right"/>
        <w:rPr>
          <w:i/>
          <w:iCs/>
          <w:lang w:eastAsia="ar-SA"/>
        </w:rPr>
      </w:pPr>
    </w:p>
    <w:p w:rsidR="009D66C1" w:rsidRPr="006150BB" w:rsidRDefault="009D66C1" w:rsidP="009D66C1">
      <w:pPr>
        <w:autoSpaceDE w:val="0"/>
        <w:spacing w:line="360" w:lineRule="auto"/>
        <w:jc w:val="right"/>
        <w:rPr>
          <w:i/>
          <w:iCs/>
          <w:lang w:eastAsia="ar-SA"/>
        </w:rPr>
      </w:pPr>
    </w:p>
    <w:p w:rsidR="009D66C1" w:rsidRPr="006150BB" w:rsidRDefault="009D66C1" w:rsidP="009D66C1">
      <w:pPr>
        <w:autoSpaceDE w:val="0"/>
        <w:spacing w:line="360" w:lineRule="auto"/>
        <w:jc w:val="right"/>
        <w:rPr>
          <w:i/>
          <w:iCs/>
          <w:lang w:eastAsia="ar-SA"/>
        </w:rPr>
      </w:pPr>
    </w:p>
    <w:p w:rsidR="009D66C1" w:rsidRPr="006150BB" w:rsidRDefault="009D66C1" w:rsidP="009D66C1">
      <w:pPr>
        <w:autoSpaceDE w:val="0"/>
        <w:spacing w:line="360" w:lineRule="auto"/>
        <w:jc w:val="center"/>
        <w:rPr>
          <w:lang w:eastAsia="hi-IN" w:bidi="hi-IN"/>
        </w:rPr>
      </w:pPr>
      <w:r w:rsidRPr="006150BB">
        <w:rPr>
          <w:i/>
          <w:iCs/>
          <w:lang w:eastAsia="ar-SA"/>
        </w:rPr>
        <w:t xml:space="preserve">           Firma per accettazione</w:t>
      </w:r>
    </w:p>
    <w:p w:rsidR="009D66C1" w:rsidRPr="00EB4CF8" w:rsidRDefault="009D66C1" w:rsidP="00EB4CF8">
      <w:pPr>
        <w:spacing w:line="360" w:lineRule="auto"/>
        <w:ind w:left="-600"/>
        <w:jc w:val="center"/>
        <w:rPr>
          <w:rFonts w:ascii="Tahoma" w:hAnsi="Tahoma" w:cs="Tahoma"/>
          <w:sz w:val="16"/>
          <w:szCs w:val="16"/>
        </w:rPr>
      </w:pPr>
    </w:p>
    <w:sectPr w:rsidR="009D66C1" w:rsidRPr="00EB4CF8" w:rsidSect="004D0E67">
      <w:footerReference w:type="default" r:id="rId10"/>
      <w:footnotePr>
        <w:pos w:val="beneathText"/>
      </w:footnotePr>
      <w:pgSz w:w="11905" w:h="16837" w:code="9"/>
      <w:pgMar w:top="141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5FF" w:rsidRDefault="003405FF" w:rsidP="007D01A1">
      <w:r>
        <w:separator/>
      </w:r>
    </w:p>
  </w:endnote>
  <w:endnote w:type="continuationSeparator" w:id="1">
    <w:p w:rsidR="003405FF" w:rsidRDefault="003405FF" w:rsidP="007D0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mbus Roman No9 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93472"/>
      <w:docPartObj>
        <w:docPartGallery w:val="Page Numbers (Bottom of Page)"/>
        <w:docPartUnique/>
      </w:docPartObj>
    </w:sdtPr>
    <w:sdtContent>
      <w:p w:rsidR="00DD3266" w:rsidRDefault="00813996">
        <w:pPr>
          <w:pStyle w:val="Pidipagina"/>
          <w:jc w:val="right"/>
        </w:pPr>
        <w:fldSimple w:instr=" PAGE   \* MERGEFORMAT ">
          <w:r w:rsidR="005B656B">
            <w:rPr>
              <w:noProof/>
            </w:rPr>
            <w:t>6</w:t>
          </w:r>
        </w:fldSimple>
      </w:p>
    </w:sdtContent>
  </w:sdt>
  <w:p w:rsidR="00DD3266" w:rsidRDefault="00DD326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5FF" w:rsidRDefault="003405FF" w:rsidP="007D01A1">
      <w:r>
        <w:separator/>
      </w:r>
    </w:p>
  </w:footnote>
  <w:footnote w:type="continuationSeparator" w:id="1">
    <w:p w:rsidR="003405FF" w:rsidRDefault="003405FF" w:rsidP="007D01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6"/>
      </v:shape>
    </w:pict>
  </w:numPicBullet>
  <w:abstractNum w:abstractNumId="0">
    <w:nsid w:val="16FC71BB"/>
    <w:multiLevelType w:val="hybridMultilevel"/>
    <w:tmpl w:val="D1A0A0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D2570"/>
    <w:multiLevelType w:val="hybridMultilevel"/>
    <w:tmpl w:val="820ECF5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509D1"/>
    <w:multiLevelType w:val="hybridMultilevel"/>
    <w:tmpl w:val="37B693B2"/>
    <w:lvl w:ilvl="0" w:tplc="0700E20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4197098"/>
    <w:multiLevelType w:val="hybridMultilevel"/>
    <w:tmpl w:val="610683C6"/>
    <w:lvl w:ilvl="0" w:tplc="0700E20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537DFD"/>
    <w:multiLevelType w:val="hybridMultilevel"/>
    <w:tmpl w:val="B2002A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97042F"/>
    <w:multiLevelType w:val="hybridMultilevel"/>
    <w:tmpl w:val="423C825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B9F7A94"/>
    <w:multiLevelType w:val="hybridMultilevel"/>
    <w:tmpl w:val="D06078A6"/>
    <w:lvl w:ilvl="0" w:tplc="0700E20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F16B19"/>
    <w:multiLevelType w:val="hybridMultilevel"/>
    <w:tmpl w:val="C024DA1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7B4BAF"/>
    <w:multiLevelType w:val="hybridMultilevel"/>
    <w:tmpl w:val="27B816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EE7942"/>
    <w:multiLevelType w:val="hybridMultilevel"/>
    <w:tmpl w:val="3B9AFD84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7AF0F26"/>
    <w:multiLevelType w:val="hybridMultilevel"/>
    <w:tmpl w:val="6B30A0F0"/>
    <w:lvl w:ilvl="0" w:tplc="0410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1D7A14"/>
    <w:multiLevelType w:val="hybridMultilevel"/>
    <w:tmpl w:val="98C070C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C60E6"/>
    <w:multiLevelType w:val="hybridMultilevel"/>
    <w:tmpl w:val="48C62A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736B07"/>
    <w:multiLevelType w:val="hybridMultilevel"/>
    <w:tmpl w:val="77C2C1E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287206"/>
    <w:multiLevelType w:val="hybridMultilevel"/>
    <w:tmpl w:val="37063B88"/>
    <w:lvl w:ilvl="0" w:tplc="0700E20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D8729E7"/>
    <w:multiLevelType w:val="hybridMultilevel"/>
    <w:tmpl w:val="E4EE138A"/>
    <w:lvl w:ilvl="0" w:tplc="0700E2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0617663"/>
    <w:multiLevelType w:val="hybridMultilevel"/>
    <w:tmpl w:val="F4EE19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890DE5"/>
    <w:multiLevelType w:val="hybridMultilevel"/>
    <w:tmpl w:val="6ACCB5B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934F98"/>
    <w:multiLevelType w:val="hybridMultilevel"/>
    <w:tmpl w:val="D856F274"/>
    <w:lvl w:ilvl="0" w:tplc="0700E20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7070D3"/>
    <w:multiLevelType w:val="hybridMultilevel"/>
    <w:tmpl w:val="17B62A6A"/>
    <w:lvl w:ilvl="0" w:tplc="0700E2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9"/>
  </w:num>
  <w:num w:numId="4">
    <w:abstractNumId w:val="15"/>
  </w:num>
  <w:num w:numId="5">
    <w:abstractNumId w:val="8"/>
  </w:num>
  <w:num w:numId="6">
    <w:abstractNumId w:val="18"/>
  </w:num>
  <w:num w:numId="7">
    <w:abstractNumId w:val="12"/>
  </w:num>
  <w:num w:numId="8">
    <w:abstractNumId w:val="14"/>
  </w:num>
  <w:num w:numId="9">
    <w:abstractNumId w:val="9"/>
  </w:num>
  <w:num w:numId="10">
    <w:abstractNumId w:val="2"/>
  </w:num>
  <w:num w:numId="11">
    <w:abstractNumId w:val="3"/>
  </w:num>
  <w:num w:numId="12">
    <w:abstractNumId w:val="13"/>
  </w:num>
  <w:num w:numId="13">
    <w:abstractNumId w:val="0"/>
  </w:num>
  <w:num w:numId="14">
    <w:abstractNumId w:val="5"/>
  </w:num>
  <w:num w:numId="15">
    <w:abstractNumId w:val="10"/>
  </w:num>
  <w:num w:numId="16">
    <w:abstractNumId w:val="11"/>
  </w:num>
  <w:num w:numId="17">
    <w:abstractNumId w:val="16"/>
  </w:num>
  <w:num w:numId="18">
    <w:abstractNumId w:val="6"/>
  </w:num>
  <w:num w:numId="19">
    <w:abstractNumId w:val="1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00"/>
  <w:displayHorizont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A00157"/>
    <w:rsid w:val="00001C4C"/>
    <w:rsid w:val="0000408B"/>
    <w:rsid w:val="0001555C"/>
    <w:rsid w:val="00033A49"/>
    <w:rsid w:val="000A45BF"/>
    <w:rsid w:val="000D18D0"/>
    <w:rsid w:val="000D29A1"/>
    <w:rsid w:val="000E5E8C"/>
    <w:rsid w:val="001055AE"/>
    <w:rsid w:val="00141D7B"/>
    <w:rsid w:val="001455F2"/>
    <w:rsid w:val="00151288"/>
    <w:rsid w:val="00192F63"/>
    <w:rsid w:val="001F0DFD"/>
    <w:rsid w:val="001F61D4"/>
    <w:rsid w:val="00255AD2"/>
    <w:rsid w:val="0026711D"/>
    <w:rsid w:val="00282925"/>
    <w:rsid w:val="00297628"/>
    <w:rsid w:val="002C4BB1"/>
    <w:rsid w:val="002C5F2B"/>
    <w:rsid w:val="002D79E5"/>
    <w:rsid w:val="002F4E6C"/>
    <w:rsid w:val="003032A2"/>
    <w:rsid w:val="003045F2"/>
    <w:rsid w:val="00306DCA"/>
    <w:rsid w:val="00316894"/>
    <w:rsid w:val="003405FF"/>
    <w:rsid w:val="00351D51"/>
    <w:rsid w:val="00354B91"/>
    <w:rsid w:val="00356102"/>
    <w:rsid w:val="0036279C"/>
    <w:rsid w:val="003703DE"/>
    <w:rsid w:val="00371452"/>
    <w:rsid w:val="003821DD"/>
    <w:rsid w:val="003A04E9"/>
    <w:rsid w:val="003A22C1"/>
    <w:rsid w:val="003A3109"/>
    <w:rsid w:val="003C3C9D"/>
    <w:rsid w:val="003C6B7F"/>
    <w:rsid w:val="003E59C8"/>
    <w:rsid w:val="003F6D7B"/>
    <w:rsid w:val="0043524A"/>
    <w:rsid w:val="00463AD2"/>
    <w:rsid w:val="0046597D"/>
    <w:rsid w:val="00466233"/>
    <w:rsid w:val="004D0E67"/>
    <w:rsid w:val="0051471E"/>
    <w:rsid w:val="00535F11"/>
    <w:rsid w:val="0055136A"/>
    <w:rsid w:val="0058281E"/>
    <w:rsid w:val="0058318E"/>
    <w:rsid w:val="005B066D"/>
    <w:rsid w:val="005B656B"/>
    <w:rsid w:val="006150BB"/>
    <w:rsid w:val="00624FBA"/>
    <w:rsid w:val="00636EE5"/>
    <w:rsid w:val="006572C7"/>
    <w:rsid w:val="00657CE6"/>
    <w:rsid w:val="006652C2"/>
    <w:rsid w:val="006709D1"/>
    <w:rsid w:val="00696B5D"/>
    <w:rsid w:val="006B02F1"/>
    <w:rsid w:val="006C2A9F"/>
    <w:rsid w:val="006C7020"/>
    <w:rsid w:val="006D410C"/>
    <w:rsid w:val="006E2AE8"/>
    <w:rsid w:val="006E5730"/>
    <w:rsid w:val="007023C6"/>
    <w:rsid w:val="0070379A"/>
    <w:rsid w:val="00706970"/>
    <w:rsid w:val="007344BE"/>
    <w:rsid w:val="00750589"/>
    <w:rsid w:val="00771209"/>
    <w:rsid w:val="00774906"/>
    <w:rsid w:val="00776722"/>
    <w:rsid w:val="007836EF"/>
    <w:rsid w:val="007B4B4C"/>
    <w:rsid w:val="007C6651"/>
    <w:rsid w:val="007D01A1"/>
    <w:rsid w:val="007D467A"/>
    <w:rsid w:val="00813456"/>
    <w:rsid w:val="00813996"/>
    <w:rsid w:val="00857B84"/>
    <w:rsid w:val="008619D0"/>
    <w:rsid w:val="0089160A"/>
    <w:rsid w:val="008A7EBD"/>
    <w:rsid w:val="008B5B27"/>
    <w:rsid w:val="008C4718"/>
    <w:rsid w:val="008F551C"/>
    <w:rsid w:val="00905471"/>
    <w:rsid w:val="009340FB"/>
    <w:rsid w:val="0093752D"/>
    <w:rsid w:val="00957D25"/>
    <w:rsid w:val="00966F2C"/>
    <w:rsid w:val="00970371"/>
    <w:rsid w:val="009853B9"/>
    <w:rsid w:val="009C18A1"/>
    <w:rsid w:val="009C4B2A"/>
    <w:rsid w:val="009D66C1"/>
    <w:rsid w:val="009E6F91"/>
    <w:rsid w:val="009F5EDA"/>
    <w:rsid w:val="009F7599"/>
    <w:rsid w:val="009F7C08"/>
    <w:rsid w:val="00A00157"/>
    <w:rsid w:val="00A06DC8"/>
    <w:rsid w:val="00A17478"/>
    <w:rsid w:val="00A225C9"/>
    <w:rsid w:val="00A342C5"/>
    <w:rsid w:val="00A364BF"/>
    <w:rsid w:val="00A821D1"/>
    <w:rsid w:val="00AA57CA"/>
    <w:rsid w:val="00AA6E64"/>
    <w:rsid w:val="00B24C07"/>
    <w:rsid w:val="00B50854"/>
    <w:rsid w:val="00B73158"/>
    <w:rsid w:val="00B76884"/>
    <w:rsid w:val="00B92C7F"/>
    <w:rsid w:val="00BA2507"/>
    <w:rsid w:val="00BB01AA"/>
    <w:rsid w:val="00BB229D"/>
    <w:rsid w:val="00BB7597"/>
    <w:rsid w:val="00BC1EB5"/>
    <w:rsid w:val="00BC35E2"/>
    <w:rsid w:val="00C02554"/>
    <w:rsid w:val="00C11E33"/>
    <w:rsid w:val="00C26346"/>
    <w:rsid w:val="00C32689"/>
    <w:rsid w:val="00C40CEF"/>
    <w:rsid w:val="00C4378C"/>
    <w:rsid w:val="00C6770E"/>
    <w:rsid w:val="00C842F3"/>
    <w:rsid w:val="00CC4030"/>
    <w:rsid w:val="00CD0895"/>
    <w:rsid w:val="00CD66A7"/>
    <w:rsid w:val="00CE4D52"/>
    <w:rsid w:val="00D11CF4"/>
    <w:rsid w:val="00D22294"/>
    <w:rsid w:val="00D33FEF"/>
    <w:rsid w:val="00D40C8A"/>
    <w:rsid w:val="00D634F1"/>
    <w:rsid w:val="00DD3266"/>
    <w:rsid w:val="00DD432E"/>
    <w:rsid w:val="00DD76DF"/>
    <w:rsid w:val="00DF05FA"/>
    <w:rsid w:val="00DF125B"/>
    <w:rsid w:val="00DF55A0"/>
    <w:rsid w:val="00E33A61"/>
    <w:rsid w:val="00E5284A"/>
    <w:rsid w:val="00E56768"/>
    <w:rsid w:val="00E962F0"/>
    <w:rsid w:val="00EA151D"/>
    <w:rsid w:val="00EA57AF"/>
    <w:rsid w:val="00EA6CD7"/>
    <w:rsid w:val="00EB3EC6"/>
    <w:rsid w:val="00EB4CF8"/>
    <w:rsid w:val="00ED602F"/>
    <w:rsid w:val="00F338BA"/>
    <w:rsid w:val="00F703E5"/>
    <w:rsid w:val="00FB7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015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9160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3752D"/>
    <w:pPr>
      <w:ind w:left="720"/>
      <w:contextualSpacing/>
    </w:pPr>
  </w:style>
  <w:style w:type="paragraph" w:styleId="Corpodeltesto">
    <w:name w:val="Body Text"/>
    <w:basedOn w:val="Normale"/>
    <w:link w:val="CorpodeltestoCarattere"/>
    <w:rsid w:val="009E6F91"/>
    <w:pPr>
      <w:suppressAutoHyphens w:val="0"/>
    </w:pPr>
    <w:rPr>
      <w:sz w:val="28"/>
      <w:szCs w:val="28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9E6F91"/>
    <w:rPr>
      <w:rFonts w:ascii="Times New Roman" w:eastAsia="Times New Roman" w:hAnsi="Times New Roman" w:cs="Times New Roman"/>
      <w:sz w:val="28"/>
      <w:szCs w:val="28"/>
      <w:lang w:eastAsia="it-IT"/>
    </w:rPr>
  </w:style>
  <w:style w:type="paragraph" w:styleId="Rientrocorpodeltesto">
    <w:name w:val="Body Text Indent"/>
    <w:basedOn w:val="Normale"/>
    <w:link w:val="RientrocorpodeltestoCarattere"/>
    <w:rsid w:val="009E6F91"/>
    <w:pPr>
      <w:suppressAutoHyphens w:val="0"/>
      <w:spacing w:after="120"/>
      <w:ind w:left="283"/>
    </w:pPr>
    <w:rPr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E6F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55A0"/>
    <w:pPr>
      <w:suppressAutoHyphens w:val="0"/>
    </w:pPr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55A0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E56768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7D01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D01A1"/>
    <w:rPr>
      <w:rFonts w:ascii="Times New Roman" w:eastAsia="Times New Roman" w:hAnsi="Times New Roman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7D01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1A1"/>
    <w:rPr>
      <w:rFonts w:ascii="Times New Roman" w:eastAsia="Times New Roman" w:hAnsi="Times New Roman" w:cs="Times New Roman"/>
      <w:sz w:val="20"/>
      <w:szCs w:val="20"/>
    </w:rPr>
  </w:style>
  <w:style w:type="paragraph" w:styleId="Testodelblocco">
    <w:name w:val="Block Text"/>
    <w:basedOn w:val="Normale"/>
    <w:rsid w:val="00970371"/>
    <w:pPr>
      <w:tabs>
        <w:tab w:val="left" w:pos="2694"/>
        <w:tab w:val="left" w:pos="4395"/>
      </w:tabs>
      <w:suppressAutoHyphens w:val="0"/>
      <w:ind w:left="1134" w:right="-142" w:hanging="1134"/>
      <w:jc w:val="both"/>
    </w:pPr>
    <w:rPr>
      <w:rFonts w:ascii="Arial" w:hAnsi="Arial"/>
      <w:sz w:val="24"/>
      <w:lang w:eastAsia="it-IT"/>
    </w:rPr>
  </w:style>
  <w:style w:type="paragraph" w:customStyle="1" w:styleId="Default">
    <w:name w:val="Default"/>
    <w:rsid w:val="003A22C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customStyle="1" w:styleId="Intestazione1">
    <w:name w:val="Intestazione1"/>
    <w:basedOn w:val="Normale"/>
    <w:rsid w:val="009D66C1"/>
    <w:pPr>
      <w:widowControl w:val="0"/>
      <w:tabs>
        <w:tab w:val="center" w:pos="4819"/>
        <w:tab w:val="right" w:pos="9638"/>
      </w:tabs>
    </w:pPr>
    <w:rPr>
      <w:rFonts w:eastAsia="Arial Unicode MS" w:cs="Arial Unicode MS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1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6D588B-BAD6-461C-BE6B-FC0AED08C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2211</Words>
  <Characters>12607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14789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Professional Sp2b Italiano</dc:creator>
  <cp:lastModifiedBy>carmela.pupo</cp:lastModifiedBy>
  <cp:revision>2</cp:revision>
  <cp:lastPrinted>2016-11-14T08:02:00Z</cp:lastPrinted>
  <dcterms:created xsi:type="dcterms:W3CDTF">2016-11-23T12:09:00Z</dcterms:created>
  <dcterms:modified xsi:type="dcterms:W3CDTF">2016-11-23T12:09:00Z</dcterms:modified>
</cp:coreProperties>
</file>